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AF" w:rsidRPr="007D208A" w:rsidRDefault="00E57FDB" w:rsidP="00274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FDB">
        <w:rPr>
          <w:rFonts w:ascii="Calibri" w:eastAsia="Times New Roman" w:hAnsi="Calibri" w:cs="Times New Roman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242512A" wp14:editId="2530A176">
            <wp:simplePos x="0" y="0"/>
            <wp:positionH relativeFrom="column">
              <wp:posOffset>-66675</wp:posOffset>
            </wp:positionH>
            <wp:positionV relativeFrom="paragraph">
              <wp:posOffset>-304800</wp:posOffset>
            </wp:positionV>
            <wp:extent cx="1098550" cy="539750"/>
            <wp:effectExtent l="0" t="0" r="6350" b="0"/>
            <wp:wrapNone/>
            <wp:docPr id="2" name="Imagen 2" descr="C:\Users\DIFUSION\Desktop\ESCRITORIO\Tec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FUSION\Desktop\ESCRITORIO\Tec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AF" w:rsidRPr="007D208A">
        <w:rPr>
          <w:rFonts w:ascii="Arial" w:hAnsi="Arial" w:cs="Arial"/>
          <w:b/>
          <w:sz w:val="24"/>
          <w:szCs w:val="24"/>
        </w:rPr>
        <w:t>Instituto Tecnológico Superior del Sur del Estado de Yucatán</w:t>
      </w:r>
    </w:p>
    <w:p w:rsidR="007D208A" w:rsidRPr="007D208A" w:rsidRDefault="007D208A" w:rsidP="0012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3525" w:rsidRPr="007D208A" w:rsidRDefault="001205AF" w:rsidP="0012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24"/>
        </w:rPr>
      </w:pPr>
      <w:r w:rsidRPr="007D208A">
        <w:rPr>
          <w:rFonts w:ascii="Arial" w:hAnsi="Arial" w:cs="Arial"/>
          <w:b/>
          <w:sz w:val="24"/>
          <w:szCs w:val="24"/>
        </w:rPr>
        <w:t>Reglamento de Servicio Social</w:t>
      </w:r>
      <w:r w:rsidRPr="007D208A">
        <w:rPr>
          <w:rFonts w:ascii="Arial" w:hAnsi="Arial" w:cs="Arial"/>
          <w:b/>
          <w:noProof/>
          <w:sz w:val="32"/>
        </w:rPr>
        <w:t xml:space="preserve"> </w:t>
      </w:r>
    </w:p>
    <w:p w:rsidR="001205AF" w:rsidRPr="007D208A" w:rsidRDefault="001205AF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08A">
        <w:rPr>
          <w:rFonts w:ascii="Arial" w:hAnsi="Arial" w:cs="Arial"/>
          <w:sz w:val="24"/>
          <w:szCs w:val="24"/>
        </w:rPr>
        <w:t xml:space="preserve"> 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Se entiende por servicio social la actividad</w:t>
      </w:r>
      <w:r w:rsidR="001205AF" w:rsidRPr="007D208A">
        <w:rPr>
          <w:rFonts w:ascii="Arial" w:hAnsi="Arial" w:cs="Arial"/>
          <w:b/>
          <w:noProof/>
        </w:rPr>
        <w:t xml:space="preserve"> </w:t>
      </w:r>
      <w:r w:rsidRPr="007D208A">
        <w:rPr>
          <w:rFonts w:ascii="Arial" w:hAnsi="Arial" w:cs="Arial"/>
        </w:rPr>
        <w:t xml:space="preserve"> de carácter temporal y obligatorio que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institucionalmente ejecuten y presten los estudiantes a beneficio de la sociedad y el Estado.</w:t>
      </w:r>
    </w:p>
    <w:p w:rsidR="001205AF" w:rsidRPr="007D208A" w:rsidRDefault="001205AF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05AF" w:rsidRPr="007D208A" w:rsidRDefault="001205AF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 xml:space="preserve">El servicio social tendrá por objeto desarrollar en el prestador una conciencia de solidaridad y compromiso con la sociedad a la que pertenece, convirtiéndose en un verdadero </w:t>
      </w:r>
      <w:r w:rsidR="007D208A">
        <w:rPr>
          <w:rFonts w:ascii="Arial" w:hAnsi="Arial" w:cs="Arial"/>
        </w:rPr>
        <w:t>acto de reciprocidad para con el</w:t>
      </w:r>
      <w:r w:rsidRPr="007D208A">
        <w:rPr>
          <w:rFonts w:ascii="Arial" w:hAnsi="Arial" w:cs="Arial"/>
        </w:rPr>
        <w:t xml:space="preserve"> mismo, a través de los planes y programas del sector público</w:t>
      </w:r>
      <w:r w:rsidR="006209D3" w:rsidRPr="007D208A">
        <w:rPr>
          <w:rFonts w:ascii="Arial" w:hAnsi="Arial" w:cs="Arial"/>
        </w:rPr>
        <w:t xml:space="preserve"> contribuyendo a la formación académica y capacitación profesional de prestador del servicio social.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Las acciones de servicio social en el Instituto Tecnológico Superior del Sur del Estado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de Yucatán podrán realizarse en los siguientes programas:</w:t>
      </w:r>
      <w:bookmarkStart w:id="0" w:name="_GoBack"/>
      <w:bookmarkEnd w:id="0"/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2676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a)</w:t>
      </w:r>
      <w:r w:rsidRPr="007D208A">
        <w:rPr>
          <w:rFonts w:ascii="Arial" w:hAnsi="Arial" w:cs="Arial"/>
        </w:rPr>
        <w:tab/>
        <w:t>Programas dirigidos hacia el desarrollo de la comunidad.</w:t>
      </w:r>
    </w:p>
    <w:p w:rsidR="001E7D39" w:rsidRPr="007D208A" w:rsidRDefault="001E7D39" w:rsidP="002676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b)</w:t>
      </w:r>
      <w:r w:rsidRPr="007D208A">
        <w:rPr>
          <w:rFonts w:ascii="Arial" w:hAnsi="Arial" w:cs="Arial"/>
        </w:rPr>
        <w:tab/>
        <w:t>Programas de investigación y desarrollo.</w:t>
      </w:r>
    </w:p>
    <w:p w:rsidR="001E7D39" w:rsidRPr="007D208A" w:rsidRDefault="001E7D39" w:rsidP="002676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c)</w:t>
      </w:r>
      <w:r w:rsidRPr="007D208A">
        <w:rPr>
          <w:rFonts w:ascii="Arial" w:hAnsi="Arial" w:cs="Arial"/>
        </w:rPr>
        <w:tab/>
        <w:t>Programas relacionados con la educación básica para Adultos.</w:t>
      </w:r>
    </w:p>
    <w:p w:rsidR="001E7D39" w:rsidRPr="007D208A" w:rsidRDefault="001E7D39" w:rsidP="002676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d)</w:t>
      </w:r>
      <w:r w:rsidRPr="007D208A">
        <w:rPr>
          <w:rFonts w:ascii="Arial" w:hAnsi="Arial" w:cs="Arial"/>
        </w:rPr>
        <w:tab/>
        <w:t>Programas de Instructores de deportes y actividades culturales, promovidas por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 xml:space="preserve">organismos oficiales y de </w:t>
      </w:r>
      <w:r w:rsidR="0026760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asistencia social.</w:t>
      </w:r>
    </w:p>
    <w:p w:rsidR="001E7D39" w:rsidRPr="007D208A" w:rsidRDefault="001E7D39" w:rsidP="002676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e)</w:t>
      </w:r>
      <w:r w:rsidRPr="007D208A">
        <w:rPr>
          <w:rFonts w:ascii="Arial" w:hAnsi="Arial" w:cs="Arial"/>
        </w:rPr>
        <w:tab/>
        <w:t>Programas nacionales prioritarios que estipula la Dirección General de Institutos</w:t>
      </w:r>
      <w:r w:rsidR="00145D93" w:rsidRPr="007D208A">
        <w:rPr>
          <w:rFonts w:ascii="Arial" w:hAnsi="Arial" w:cs="Arial"/>
        </w:rPr>
        <w:t xml:space="preserve"> </w:t>
      </w:r>
      <w:r w:rsidR="006209D3" w:rsidRPr="007D208A">
        <w:rPr>
          <w:rFonts w:ascii="Arial" w:hAnsi="Arial" w:cs="Arial"/>
        </w:rPr>
        <w:t>Tecnológicos.</w:t>
      </w:r>
    </w:p>
    <w:p w:rsidR="001E7D39" w:rsidRPr="007D208A" w:rsidRDefault="001E7D39" w:rsidP="002676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f)</w:t>
      </w:r>
      <w:r w:rsidRPr="007D208A">
        <w:rPr>
          <w:rFonts w:ascii="Arial" w:hAnsi="Arial" w:cs="Arial"/>
        </w:rPr>
        <w:tab/>
        <w:t>Programas locales y regionales.</w:t>
      </w:r>
    </w:p>
    <w:p w:rsidR="001E7D39" w:rsidRPr="007D208A" w:rsidRDefault="001E7D39" w:rsidP="002676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g)</w:t>
      </w:r>
      <w:r w:rsidRPr="007D208A">
        <w:rPr>
          <w:rFonts w:ascii="Arial" w:hAnsi="Arial" w:cs="Arial"/>
        </w:rPr>
        <w:tab/>
        <w:t>Programas que marquen el Programa Nacional de apoyo al servicio social de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SEDESOL.</w:t>
      </w:r>
    </w:p>
    <w:p w:rsidR="001E7D39" w:rsidRPr="007D208A" w:rsidRDefault="001E7D39" w:rsidP="002676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h)</w:t>
      </w:r>
      <w:r w:rsidRPr="007D208A">
        <w:rPr>
          <w:rFonts w:ascii="Arial" w:hAnsi="Arial" w:cs="Arial"/>
        </w:rPr>
        <w:tab/>
        <w:t>Programas de apoyo a las acciones de los propios Institutos Tecnológicos, pero que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estén relacionados con una o más acciones antes mencionadas.</w:t>
      </w:r>
    </w:p>
    <w:p w:rsidR="006209D3" w:rsidRPr="007D208A" w:rsidRDefault="006209D3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La prestación del servicio social en los Institutos Tecnológicos por ser de naturaleza social, no podrá emplearse para cubrir necesidades de tipo laboral, ni otorgará categorías de trabajador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al prestador del servicio social.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47BD" w:rsidRDefault="001E7D39" w:rsidP="00145D93">
      <w:pPr>
        <w:widowControl w:val="0"/>
        <w:tabs>
          <w:tab w:val="left" w:pos="213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La prestación del servicio social deberá estipularse en convenios con Instituciones u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 xml:space="preserve">organismos oficiales, los cuales proveerán tanto en lo administrativo como en lo económico de los </w:t>
      </w:r>
      <w:r w:rsidR="00145D93" w:rsidRPr="007D208A">
        <w:rPr>
          <w:rFonts w:ascii="Arial" w:hAnsi="Arial" w:cs="Arial"/>
        </w:rPr>
        <w:t xml:space="preserve">elementos mínimos, así como de los estímulos y apoyos necesarios para el logro de los objetivos planteados en los programas; tales como becas </w:t>
      </w:r>
    </w:p>
    <w:p w:rsidR="002747BD" w:rsidRDefault="00E57FDB" w:rsidP="00145D93">
      <w:pPr>
        <w:widowControl w:val="0"/>
        <w:tabs>
          <w:tab w:val="left" w:pos="213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35EC2F9" wp14:editId="356A8B45">
            <wp:simplePos x="0" y="0"/>
            <wp:positionH relativeFrom="column">
              <wp:posOffset>2524125</wp:posOffset>
            </wp:positionH>
            <wp:positionV relativeFrom="paragraph">
              <wp:posOffset>-304800</wp:posOffset>
            </wp:positionV>
            <wp:extent cx="473710" cy="647700"/>
            <wp:effectExtent l="0" t="0" r="2540" b="0"/>
            <wp:wrapNone/>
            <wp:docPr id="1" name="2 Imagen" descr="C:\Users\DIFUSION\Desktop\LOGO ITSSY_AZ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C:\Users\DIFUSION\Desktop\LOGO ITSSY_AZ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BD" w:rsidRDefault="002747BD" w:rsidP="00145D93">
      <w:pPr>
        <w:widowControl w:val="0"/>
        <w:tabs>
          <w:tab w:val="left" w:pos="213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5D93" w:rsidRPr="007D208A" w:rsidRDefault="002747BD" w:rsidP="00145D93">
      <w:pPr>
        <w:widowControl w:val="0"/>
        <w:tabs>
          <w:tab w:val="left" w:pos="213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7D208A">
        <w:rPr>
          <w:rFonts w:ascii="Arial" w:hAnsi="Arial" w:cs="Arial"/>
        </w:rPr>
        <w:t>cadémicas</w:t>
      </w:r>
      <w:r w:rsidR="00145D93" w:rsidRPr="007D208A">
        <w:rPr>
          <w:rFonts w:ascii="Arial" w:hAnsi="Arial" w:cs="Arial"/>
        </w:rPr>
        <w:t>, transporte, materiales, herramientas, etc.</w:t>
      </w:r>
    </w:p>
    <w:p w:rsidR="00145D93" w:rsidRPr="007D208A" w:rsidRDefault="00145D93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5D93" w:rsidRPr="007D208A" w:rsidRDefault="00145D93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El servicio social deberá ser prestado por los estudiantes de los institutos Tecnológicos, como requisito previo a su titulación, con fundamento en el artículo 9º del Reglamento para la prestación de Servicio Social de los estudiantes de las Instituciones de educación Superior en la República Mexicana.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  <w:b/>
          <w:bCs/>
        </w:rPr>
        <w:t>De los prestadores de Servicio Social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208A" w:rsidRPr="007D208A" w:rsidRDefault="001E7D39" w:rsidP="007D208A">
      <w:pPr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El servicio s</w:t>
      </w:r>
      <w:r w:rsidR="007D208A" w:rsidRPr="007D208A">
        <w:rPr>
          <w:rFonts w:ascii="Arial" w:hAnsi="Arial" w:cs="Arial"/>
        </w:rPr>
        <w:t>ocial se podrá realizar</w:t>
      </w:r>
      <w:r w:rsidRPr="007D208A">
        <w:rPr>
          <w:rFonts w:ascii="Arial" w:hAnsi="Arial" w:cs="Arial"/>
        </w:rPr>
        <w:t xml:space="preserve"> a partir del 70% de créditos aprobados,</w:t>
      </w:r>
      <w:r w:rsidR="007D208A" w:rsidRPr="007D208A">
        <w:rPr>
          <w:rFonts w:ascii="Arial" w:hAnsi="Arial" w:cs="Arial"/>
        </w:rPr>
        <w:t xml:space="preserve"> tiene un valor de 10 créditos y será sujeto a evaluación por parte de la dependencia en donde preste el Servicio Social mediante el formato Evaluación de Servicio Social (ITSSY-F-VI-02-06).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El servicio social deberá cubrir 480 horas mínimo durante un periodo de 6 meses y no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mayor de dos años.</w:t>
      </w:r>
    </w:p>
    <w:p w:rsidR="007D208A" w:rsidRPr="007D208A" w:rsidRDefault="007D208A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El estudiante podrá iniciar la prestación del servicio social, cuando su solicitud haya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sido aprobada por el Departamento de Vinculación y Gestión Tecnológica del Instituto Tecnológico, previa entrega de la carta de asignación del organismo oficial.</w:t>
      </w:r>
    </w:p>
    <w:p w:rsidR="006209D3" w:rsidRPr="007D208A" w:rsidRDefault="006209D3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09D3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El estudiante llevará la Carta de Presentación al organismo o dependencia oficial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seleccionada, después de haber tenido contacto verbal con la misma.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El estudiante podrá prestar el servicio social  en programas que el mismo proponga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siempre y cuando su contenido, alcance y proyección sean de beneficio social. La autorización quedará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a criterio del Departamento de Vinculación y gestión Tecnológica del Instituto Tecnológico.</w:t>
      </w:r>
    </w:p>
    <w:p w:rsidR="00145D93" w:rsidRPr="007D208A" w:rsidRDefault="00145D93" w:rsidP="00620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El prestador podrá solicitar su baja temporal o definitiva del programa en que se esté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participando quedando a criterio del Departamento de Vinculación y Gestión Tecnológica del Instituto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Tecnológico, si se le computa o no el tiempo acumulado.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Será obligación del prestante al concluir su servicio social presentar un informe final, el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cual deberá de contener los siguientes puntos:</w:t>
      </w:r>
    </w:p>
    <w:p w:rsidR="001E7D39" w:rsidRPr="007D208A" w:rsidRDefault="001E7D39" w:rsidP="00145D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a)</w:t>
      </w:r>
      <w:r w:rsidRPr="007D208A">
        <w:rPr>
          <w:rFonts w:ascii="Arial" w:hAnsi="Arial" w:cs="Arial"/>
        </w:rPr>
        <w:tab/>
        <w:t>Introducción</w:t>
      </w:r>
    </w:p>
    <w:p w:rsidR="001E7D39" w:rsidRPr="007D208A" w:rsidRDefault="001E7D39" w:rsidP="00145D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b)</w:t>
      </w:r>
      <w:r w:rsidRPr="007D208A">
        <w:rPr>
          <w:rFonts w:ascii="Arial" w:hAnsi="Arial" w:cs="Arial"/>
        </w:rPr>
        <w:tab/>
        <w:t>Desarrollo de actividades</w:t>
      </w:r>
    </w:p>
    <w:p w:rsidR="001E7D39" w:rsidRPr="007D208A" w:rsidRDefault="001E7D39" w:rsidP="00145D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lastRenderedPageBreak/>
        <w:t>c)</w:t>
      </w:r>
      <w:r w:rsidRPr="007D208A">
        <w:rPr>
          <w:rFonts w:ascii="Arial" w:hAnsi="Arial" w:cs="Arial"/>
        </w:rPr>
        <w:tab/>
        <w:t>Resultados</w:t>
      </w:r>
    </w:p>
    <w:p w:rsidR="001E7D39" w:rsidRPr="007D208A" w:rsidRDefault="001E7D39" w:rsidP="00145D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d)</w:t>
      </w:r>
      <w:r w:rsidRPr="007D208A">
        <w:rPr>
          <w:rFonts w:ascii="Arial" w:hAnsi="Arial" w:cs="Arial"/>
        </w:rPr>
        <w:tab/>
        <w:t xml:space="preserve">Conclusiones </w:t>
      </w:r>
    </w:p>
    <w:p w:rsidR="001E7D39" w:rsidRPr="007D208A" w:rsidRDefault="001E7D39" w:rsidP="00145D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e)</w:t>
      </w:r>
      <w:r w:rsidRPr="007D208A">
        <w:rPr>
          <w:rFonts w:ascii="Arial" w:hAnsi="Arial" w:cs="Arial"/>
        </w:rPr>
        <w:tab/>
        <w:t>Recomendaciones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 xml:space="preserve">El reporte final deberá estar escrito a </w:t>
      </w:r>
      <w:r w:rsidR="00267603" w:rsidRPr="007D208A">
        <w:rPr>
          <w:rFonts w:ascii="Arial" w:hAnsi="Arial" w:cs="Arial"/>
        </w:rPr>
        <w:t>máquina</w:t>
      </w:r>
      <w:r w:rsidRPr="007D208A">
        <w:rPr>
          <w:rFonts w:ascii="Arial" w:hAnsi="Arial" w:cs="Arial"/>
        </w:rPr>
        <w:t xml:space="preserve"> o computadora sin faltas de ortografía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en material de buena calidad empastado o engargolado y el interesado deberá entregar al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Departamento de Vinculación y Gestión Tecnológica un original y dos copias:</w:t>
      </w:r>
    </w:p>
    <w:p w:rsidR="001E7D39" w:rsidRPr="007D208A" w:rsidRDefault="001E7D39" w:rsidP="004235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a)</w:t>
      </w:r>
      <w:r w:rsidRPr="007D208A">
        <w:rPr>
          <w:rFonts w:ascii="Arial" w:hAnsi="Arial" w:cs="Arial"/>
        </w:rPr>
        <w:tab/>
        <w:t>El original se entrega al Departamento de Vinculación y Gestión Tecnológica del Instituto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Tecnológico.</w:t>
      </w:r>
    </w:p>
    <w:p w:rsidR="001E7D39" w:rsidRPr="007D208A" w:rsidRDefault="001E7D39" w:rsidP="004235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b)</w:t>
      </w:r>
      <w:r w:rsidRPr="007D208A">
        <w:rPr>
          <w:rFonts w:ascii="Arial" w:hAnsi="Arial" w:cs="Arial"/>
        </w:rPr>
        <w:tab/>
        <w:t>Copia de recibido para la Institución donde se prestó el servicio social.</w:t>
      </w:r>
    </w:p>
    <w:p w:rsidR="001E7D39" w:rsidRPr="007D208A" w:rsidRDefault="001E7D39" w:rsidP="004235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c)</w:t>
      </w:r>
      <w:r w:rsidRPr="007D208A">
        <w:rPr>
          <w:rFonts w:ascii="Arial" w:hAnsi="Arial" w:cs="Arial"/>
        </w:rPr>
        <w:tab/>
        <w:t>Copia de recibido para el interesado.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El reporte final de servicio social deberá ser entregado dentro de un período máximo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de dos meses, a partir de la fecha en que concluyó. En caso contrario se anulará la prestación de dicho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servicio.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Cuando el prestador concluya su servicio social, solicitará a la Institución donde lo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realizó una constancia de cumplimiento, avalada por el responsable directo del programa en que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participó para que sea posible la certificación del servicio social por el Instituto Tecnológico. Se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entregará el original al Departamento de Vinculación y Gestión Tecnológica y una copia será para el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interesado.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tabs>
          <w:tab w:val="left" w:pos="26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El prestador causará baja con la cancelación del tiempo acumulado cuando sin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justificación alguna incurra en una o más de las siguientes faltas: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a)</w:t>
      </w:r>
      <w:r w:rsidRPr="007D208A">
        <w:rPr>
          <w:rFonts w:ascii="Arial" w:hAnsi="Arial" w:cs="Arial"/>
        </w:rPr>
        <w:tab/>
        <w:t>Que durante la prestación del servicio social acumule tres faltas consecutivas o cinco alternas.</w:t>
      </w:r>
    </w:p>
    <w:p w:rsidR="001E7D39" w:rsidRPr="007D208A" w:rsidRDefault="001E7D39" w:rsidP="00145D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b)</w:t>
      </w:r>
      <w:r w:rsidRPr="007D208A">
        <w:rPr>
          <w:rFonts w:ascii="Arial" w:hAnsi="Arial" w:cs="Arial"/>
        </w:rPr>
        <w:tab/>
        <w:t>Que no entregue sus informes en las fechas establecidas por el Departamento de Vinculación y</w:t>
      </w:r>
      <w:r w:rsidR="00145D93" w:rsidRPr="007D208A">
        <w:rPr>
          <w:rFonts w:ascii="Arial" w:hAnsi="Arial" w:cs="Arial"/>
        </w:rPr>
        <w:t xml:space="preserve"> </w:t>
      </w:r>
      <w:r w:rsidR="00267603" w:rsidRPr="007D208A">
        <w:rPr>
          <w:rFonts w:ascii="Arial" w:hAnsi="Arial" w:cs="Arial"/>
        </w:rPr>
        <w:t xml:space="preserve">Gestión </w:t>
      </w:r>
      <w:r w:rsidRPr="007D208A">
        <w:rPr>
          <w:rFonts w:ascii="Arial" w:hAnsi="Arial" w:cs="Arial"/>
        </w:rPr>
        <w:t>Tecnológica del Instituto Tecnológico.</w:t>
      </w:r>
    </w:p>
    <w:p w:rsidR="001E7D39" w:rsidRPr="007D208A" w:rsidRDefault="001E7D39" w:rsidP="00145D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c)</w:t>
      </w:r>
      <w:r w:rsidRPr="007D208A">
        <w:rPr>
          <w:rFonts w:ascii="Arial" w:hAnsi="Arial" w:cs="Arial"/>
        </w:rPr>
        <w:tab/>
        <w:t>Que no cumpla con lo establecido en esta reglamentación o las disposiciones de la Institución en donde preste su servicio social.</w:t>
      </w:r>
    </w:p>
    <w:p w:rsidR="001E7D39" w:rsidRPr="007D208A" w:rsidRDefault="001E7D39" w:rsidP="00145D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d)</w:t>
      </w:r>
      <w:r w:rsidRPr="007D208A">
        <w:rPr>
          <w:rFonts w:ascii="Arial" w:hAnsi="Arial" w:cs="Arial"/>
        </w:rPr>
        <w:tab/>
        <w:t>Que abandone injustificadamente, no cumpla o deje inconclusas las actividades asignadas de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un determinado programa.</w:t>
      </w:r>
    </w:p>
    <w:p w:rsidR="001E7D39" w:rsidRPr="007D208A" w:rsidRDefault="001E7D39" w:rsidP="00145D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e)</w:t>
      </w:r>
      <w:r w:rsidRPr="007D208A">
        <w:rPr>
          <w:rFonts w:ascii="Arial" w:hAnsi="Arial" w:cs="Arial"/>
        </w:rPr>
        <w:tab/>
        <w:t>Que durante la prestación del servicio social realice actos que vayan en detrimento de la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imagen del Instituto Tecnológico.</w:t>
      </w:r>
    </w:p>
    <w:p w:rsidR="002747BD" w:rsidRDefault="002747BD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Al prestador, que el Departamento de Vinculación y Gestión Tecnológica del Instituto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Tecnológico le cancele su servicio social, le podrá autorizar nuevamente la prestación de éste, después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de transcurrir dos semestres contados a partir de la fecha de cancelación (el semestre que le falta y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lastRenderedPageBreak/>
        <w:t>sanción al siguiente). En caso de reincidencia por las causas indicadas en el artículo 48º del presente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reglamento estará impedido para prestar nuevamente su servicio social durante un lapso de dos semestres a partir de la nueva fecha de cancelación.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208A">
        <w:rPr>
          <w:rFonts w:ascii="Arial" w:hAnsi="Arial" w:cs="Arial"/>
          <w:b/>
          <w:bCs/>
        </w:rPr>
        <w:t>TRANSITORIOS:</w:t>
      </w:r>
    </w:p>
    <w:p w:rsidR="001E7D39" w:rsidRPr="007D208A" w:rsidRDefault="001E7D39" w:rsidP="001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D39" w:rsidRPr="007D208A" w:rsidRDefault="001E7D39" w:rsidP="002676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D208A">
        <w:rPr>
          <w:rFonts w:ascii="Arial" w:hAnsi="Arial" w:cs="Arial"/>
        </w:rPr>
        <w:t>1.</w:t>
      </w:r>
      <w:r w:rsidRPr="007D208A">
        <w:rPr>
          <w:rFonts w:ascii="Arial" w:hAnsi="Arial" w:cs="Arial"/>
        </w:rPr>
        <w:tab/>
        <w:t>Los casos no previstos en el presente reglamento, serán resueltos por la Dirección General de</w:t>
      </w:r>
      <w:r w:rsidR="00145D93" w:rsidRPr="007D208A">
        <w:rPr>
          <w:rFonts w:ascii="Arial" w:hAnsi="Arial" w:cs="Arial"/>
        </w:rPr>
        <w:t xml:space="preserve"> </w:t>
      </w:r>
      <w:r w:rsidRPr="007D208A">
        <w:rPr>
          <w:rFonts w:ascii="Arial" w:hAnsi="Arial" w:cs="Arial"/>
        </w:rPr>
        <w:t>Institutos Tecnológicos.</w:t>
      </w:r>
    </w:p>
    <w:sectPr w:rsidR="001E7D39" w:rsidRPr="007D208A" w:rsidSect="00EB6FDC"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822"/>
    <w:multiLevelType w:val="multilevel"/>
    <w:tmpl w:val="7A940B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39"/>
    <w:rsid w:val="00072C37"/>
    <w:rsid w:val="001205AF"/>
    <w:rsid w:val="00145D93"/>
    <w:rsid w:val="001E7D39"/>
    <w:rsid w:val="00267603"/>
    <w:rsid w:val="002747BD"/>
    <w:rsid w:val="00423525"/>
    <w:rsid w:val="0042427F"/>
    <w:rsid w:val="004F443C"/>
    <w:rsid w:val="00570296"/>
    <w:rsid w:val="00597950"/>
    <w:rsid w:val="006209D3"/>
    <w:rsid w:val="00741511"/>
    <w:rsid w:val="007846CF"/>
    <w:rsid w:val="007D208A"/>
    <w:rsid w:val="00914F3F"/>
    <w:rsid w:val="00A50D52"/>
    <w:rsid w:val="00D72CDA"/>
    <w:rsid w:val="00D847D4"/>
    <w:rsid w:val="00E57FDB"/>
    <w:rsid w:val="00E9572D"/>
    <w:rsid w:val="00EB6FDC"/>
    <w:rsid w:val="00F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9FDD-4F41-4F0D-B178-864E77C8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3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D93"/>
    <w:pPr>
      <w:ind w:left="720"/>
      <w:contextualSpacing/>
    </w:pPr>
  </w:style>
  <w:style w:type="paragraph" w:styleId="Piedepgina">
    <w:name w:val="footer"/>
    <w:basedOn w:val="Normal"/>
    <w:link w:val="PiedepginaCar"/>
    <w:rsid w:val="004235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42352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42352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235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423525"/>
    <w:pPr>
      <w:tabs>
        <w:tab w:val="left" w:pos="70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FDB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BC4B-9765-404C-ACFD-7D7FCDB7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ITSSY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DSSyRP</dc:creator>
  <cp:lastModifiedBy>RESIDENCIA P</cp:lastModifiedBy>
  <cp:revision>2</cp:revision>
  <cp:lastPrinted>2018-11-16T22:05:00Z</cp:lastPrinted>
  <dcterms:created xsi:type="dcterms:W3CDTF">2019-10-22T21:09:00Z</dcterms:created>
  <dcterms:modified xsi:type="dcterms:W3CDTF">2019-10-22T21:09:00Z</dcterms:modified>
</cp:coreProperties>
</file>